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10 38 vom 26. September 2012</w:t>
      </w:r>
    </w:p>
    <w:p>
      <w:r>
        <w:t>BL Gerichte, 2012-09-26, DE</w:t>
      </w:r>
    </w:p>
    <w:p>
      <w:r>
        <w:rPr>
          <w:b/>
        </w:rPr>
        <w:t xml:space="preserve">Quelle: </w:t>
      </w:r>
      <w:r>
        <w:t>https://mcp.opencaselaw.ch/entscheid/bl_gerichte_810 10 38</w:t>
      </w:r>
    </w:p>
    <w:p>
      <w:r>
        <w:t>FR: BL_GERICHTE 810 10 38 du 26 septembre 2012</w:t>
      </w:r>
    </w:p>
    <w:p>
      <w:r>
        <w:t>IT: BL_GERICHTE 810 10 38 del 26 settembre 2012</w:t>
      </w:r>
    </w:p>
    <w:p>
      <w:pPr>
        <w:pStyle w:val="Heading2"/>
      </w:pPr>
      <w:r>
        <w:t>Regeste</w:t>
      </w:r>
    </w:p>
    <w:p>
      <w:r>
        <w:t>Einspracheentscheid der Direktion der BGV vom 25.05.2009, Elementarschaden vom 10.02.2009; Objekt Halle in C.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 Der geleistete Kostenvorschuss in der Höhe von Fr. 13'600.-- wird den Beschwerdeführern zurückerstattet.</w:t>
      </w:r>
    </w:p>
    <w:p>
      <w:r>
        <w:rPr>
          <w:b/>
        </w:rPr>
        <w:t>E. 3</w:t>
      </w:r>
    </w:p>
    <w:p>
      <w:r>
        <w:t>Die Beschwerdegegnerin hat den Beschwerdeführern eine reduzierte Parteientschädigung in der Höhe von Fr. 3'000.-- (inkl. Auslagen und 8% Mehrwertsteuer) zu bezahlen. Im Übrigen werden die Parteikosten wett-geschlagen. Präsidentin Gerichtsschreiberin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